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9736" w14:textId="411CBF46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BE101A" w:rsidRPr="00BE101A">
        <w:rPr>
          <w:rFonts w:eastAsiaTheme="majorEastAsia" w:cstheme="majorBidi"/>
          <w:b/>
          <w:bCs/>
          <w:sz w:val="20"/>
          <w:szCs w:val="20"/>
          <w:lang w:eastAsia="en-US"/>
        </w:rPr>
        <w:t>POST/DYS/OR/GZ/00024/2026</w:t>
      </w:r>
    </w:p>
    <w:p w14:paraId="3BB8BCA6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3929F177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19212ECF" w14:textId="52ABDD13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</w:t>
      </w:r>
      <w:r w:rsidR="0092181F">
        <w:rPr>
          <w:rFonts w:cs="Arial"/>
          <w:szCs w:val="22"/>
        </w:rPr>
        <w:t xml:space="preserve">e dołożył wszelkiej staranności </w:t>
      </w:r>
      <w:r w:rsidRPr="00565BB2">
        <w:rPr>
          <w:rFonts w:cs="Arial"/>
          <w:szCs w:val="22"/>
        </w:rPr>
        <w:t>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290D871A" w14:textId="3B0E8C78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0704CA5D" w14:textId="7A148572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5DD40410" w14:textId="55BA2C1A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</w:t>
      </w:r>
      <w:r w:rsidR="002B1A86">
        <w:rPr>
          <w:rFonts w:cs="Arial"/>
          <w:szCs w:val="22"/>
        </w:rPr>
        <w:t xml:space="preserve">icielami gruntu o udostępnienie </w:t>
      </w:r>
      <w:r w:rsidRPr="00565BB2">
        <w:rPr>
          <w:rFonts w:cs="Arial"/>
          <w:szCs w:val="22"/>
        </w:rPr>
        <w:t>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29ACAF15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60C5873A" w14:textId="53349C4E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14E1AAAB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305D197F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7EA7D987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0850F952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25797A36" w14:textId="099A8331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BE101A" w:rsidRPr="00BE101A">
        <w:rPr>
          <w:rFonts w:eastAsiaTheme="majorEastAsia" w:cstheme="majorBidi"/>
          <w:b/>
          <w:bCs/>
          <w:sz w:val="20"/>
          <w:szCs w:val="20"/>
          <w:lang w:eastAsia="en-US"/>
        </w:rPr>
        <w:t>POST/DYS/OR/GZ/00024/2026</w:t>
      </w:r>
    </w:p>
    <w:p w14:paraId="40521EAB" w14:textId="488EBC6D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</w:t>
      </w:r>
      <w:r w:rsidR="006A0975">
        <w:rPr>
          <w:rFonts w:ascii="Calibri" w:hAnsi="Calibri"/>
          <w:b/>
          <w:snapToGrid w:val="0"/>
          <w:color w:val="000000"/>
          <w:sz w:val="28"/>
          <w:szCs w:val="22"/>
        </w:rPr>
        <w:t xml:space="preserve"> 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/202</w:t>
      </w:r>
      <w:r w:rsidR="00BE101A">
        <w:rPr>
          <w:rFonts w:ascii="Calibri" w:hAnsi="Calibri"/>
          <w:b/>
          <w:snapToGrid w:val="0"/>
          <w:color w:val="000000"/>
          <w:sz w:val="28"/>
          <w:szCs w:val="22"/>
        </w:rPr>
        <w:t>6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296F50AD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2E76CC6C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1E8D2154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2744620B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05720143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01A722D6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03F027C4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2F322A46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328C9AE0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571E5CF3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42E0C91B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448FE57A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5F635CE6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01EFCCC2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678EE2D9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6FA19DC3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262E2725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53A08018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4F5F07C3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0BB9A506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6BFCA135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55C159C6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759DF3F1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47A45DC9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07AEBDF7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55BA6D51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6C00AC4B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70DE9A5A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26D4581F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3B45669E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707E8E91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42304258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506DF293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24FFCB9E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37D36329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04333A8D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3C59F802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628C34D3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438FF3EF" w14:textId="67679B76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BE101A" w:rsidRPr="00BE101A">
        <w:rPr>
          <w:rFonts w:eastAsiaTheme="majorEastAsia" w:cstheme="majorBidi"/>
          <w:b/>
          <w:bCs/>
          <w:szCs w:val="22"/>
          <w:lang w:eastAsia="en-US"/>
        </w:rPr>
        <w:t>POST/DYS/OR/GZ/00024/2026</w:t>
      </w:r>
    </w:p>
    <w:p w14:paraId="048E0214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56F25C1B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2AC46368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4B266053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1A4A3E4D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2D44C3E6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421C23AC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4C916483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00C9C611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57C030CC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031CEBEA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07931ADF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317A8C98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45707ACD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0723E20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06A2F6B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34DFB1F5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04BAD7ED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0EFA635C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36C2861B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5F9F90CC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0782DDE5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4287505D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5C22E623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1A894" w14:textId="77777777" w:rsidR="00D769EF" w:rsidRDefault="00D769EF" w:rsidP="00B4518E">
      <w:r>
        <w:separator/>
      </w:r>
    </w:p>
  </w:endnote>
  <w:endnote w:type="continuationSeparator" w:id="0">
    <w:p w14:paraId="07B14A4B" w14:textId="77777777" w:rsidR="00D769EF" w:rsidRDefault="00D769EF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59E5C" w14:textId="77777777" w:rsidR="00D769EF" w:rsidRDefault="00D769EF" w:rsidP="00B4518E">
      <w:r>
        <w:separator/>
      </w:r>
    </w:p>
  </w:footnote>
  <w:footnote w:type="continuationSeparator" w:id="0">
    <w:p w14:paraId="242D082F" w14:textId="77777777" w:rsidR="00D769EF" w:rsidRDefault="00D769EF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5B7FD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638760094">
    <w:abstractNumId w:val="23"/>
  </w:num>
  <w:num w:numId="2" w16cid:durableId="1406345164">
    <w:abstractNumId w:val="3"/>
  </w:num>
  <w:num w:numId="3" w16cid:durableId="445318147">
    <w:abstractNumId w:val="14"/>
  </w:num>
  <w:num w:numId="4" w16cid:durableId="1515997032">
    <w:abstractNumId w:val="15"/>
  </w:num>
  <w:num w:numId="5" w16cid:durableId="540360399">
    <w:abstractNumId w:val="25"/>
  </w:num>
  <w:num w:numId="6" w16cid:durableId="1518422679">
    <w:abstractNumId w:val="11"/>
  </w:num>
  <w:num w:numId="7" w16cid:durableId="1955479381">
    <w:abstractNumId w:val="12"/>
  </w:num>
  <w:num w:numId="8" w16cid:durableId="1637029562">
    <w:abstractNumId w:val="10"/>
  </w:num>
  <w:num w:numId="9" w16cid:durableId="1619094814">
    <w:abstractNumId w:val="4"/>
  </w:num>
  <w:num w:numId="10" w16cid:durableId="1877083429">
    <w:abstractNumId w:val="19"/>
  </w:num>
  <w:num w:numId="11" w16cid:durableId="891582263">
    <w:abstractNumId w:val="17"/>
  </w:num>
  <w:num w:numId="12" w16cid:durableId="1441489670">
    <w:abstractNumId w:val="8"/>
  </w:num>
  <w:num w:numId="13" w16cid:durableId="1275477289">
    <w:abstractNumId w:val="16"/>
  </w:num>
  <w:num w:numId="14" w16cid:durableId="1976333165">
    <w:abstractNumId w:val="22"/>
  </w:num>
  <w:num w:numId="15" w16cid:durableId="602879849">
    <w:abstractNumId w:val="20"/>
  </w:num>
  <w:num w:numId="16" w16cid:durableId="1589581417">
    <w:abstractNumId w:val="26"/>
  </w:num>
  <w:num w:numId="17" w16cid:durableId="1466120898">
    <w:abstractNumId w:val="1"/>
  </w:num>
  <w:num w:numId="18" w16cid:durableId="803810609">
    <w:abstractNumId w:val="6"/>
  </w:num>
  <w:num w:numId="19" w16cid:durableId="530530424">
    <w:abstractNumId w:val="5"/>
  </w:num>
  <w:num w:numId="20" w16cid:durableId="1352881205">
    <w:abstractNumId w:val="0"/>
  </w:num>
  <w:num w:numId="21" w16cid:durableId="168840246">
    <w:abstractNumId w:val="9"/>
  </w:num>
  <w:num w:numId="22" w16cid:durableId="138230190">
    <w:abstractNumId w:val="21"/>
  </w:num>
  <w:num w:numId="23" w16cid:durableId="1706059959">
    <w:abstractNumId w:val="27"/>
  </w:num>
  <w:num w:numId="24" w16cid:durableId="798035581">
    <w:abstractNumId w:val="13"/>
  </w:num>
  <w:num w:numId="25" w16cid:durableId="892276358">
    <w:abstractNumId w:val="7"/>
  </w:num>
  <w:num w:numId="26" w16cid:durableId="936331463">
    <w:abstractNumId w:val="18"/>
  </w:num>
  <w:num w:numId="27" w16cid:durableId="457259715">
    <w:abstractNumId w:val="24"/>
  </w:num>
  <w:num w:numId="28" w16cid:durableId="1195995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5D2A"/>
    <w:rsid w:val="00007822"/>
    <w:rsid w:val="00007C70"/>
    <w:rsid w:val="00007CBB"/>
    <w:rsid w:val="00010416"/>
    <w:rsid w:val="00011122"/>
    <w:rsid w:val="0001195D"/>
    <w:rsid w:val="0001300A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2F91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372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0B33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44A0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5F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2F7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4E2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0347"/>
    <w:rsid w:val="00230DA8"/>
    <w:rsid w:val="00231A6F"/>
    <w:rsid w:val="002346E0"/>
    <w:rsid w:val="00234980"/>
    <w:rsid w:val="00234D0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5450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86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65C4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5EA6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10E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6C45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142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5714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2FF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704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A06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1E51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0DC"/>
    <w:rsid w:val="004C47B2"/>
    <w:rsid w:val="004C4D01"/>
    <w:rsid w:val="004C5EDB"/>
    <w:rsid w:val="004C72AD"/>
    <w:rsid w:val="004C7839"/>
    <w:rsid w:val="004C785B"/>
    <w:rsid w:val="004C7997"/>
    <w:rsid w:val="004C7D40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1385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A9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2CC6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8E7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2D83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4EAA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57CF7"/>
    <w:rsid w:val="006607A4"/>
    <w:rsid w:val="00661C5F"/>
    <w:rsid w:val="00661D2F"/>
    <w:rsid w:val="00662348"/>
    <w:rsid w:val="006625D3"/>
    <w:rsid w:val="006625EB"/>
    <w:rsid w:val="006637BD"/>
    <w:rsid w:val="00663D42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C0C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52E6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0975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35E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6F09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470FA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5AB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4A28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4AD2"/>
    <w:rsid w:val="008A5934"/>
    <w:rsid w:val="008A5CE1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9A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5250"/>
    <w:rsid w:val="008D6079"/>
    <w:rsid w:val="008D608B"/>
    <w:rsid w:val="008D63BF"/>
    <w:rsid w:val="008E15C9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81F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7DC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4BEB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4803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313D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06F2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297E"/>
    <w:rsid w:val="00B636D3"/>
    <w:rsid w:val="00B63CDE"/>
    <w:rsid w:val="00B64294"/>
    <w:rsid w:val="00B644E6"/>
    <w:rsid w:val="00B64F07"/>
    <w:rsid w:val="00B6555D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01A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1D88"/>
    <w:rsid w:val="00BF2766"/>
    <w:rsid w:val="00BF2A3D"/>
    <w:rsid w:val="00BF3251"/>
    <w:rsid w:val="00BF3896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1E51"/>
    <w:rsid w:val="00CE2097"/>
    <w:rsid w:val="00CE2BA5"/>
    <w:rsid w:val="00CE30EF"/>
    <w:rsid w:val="00CE31E2"/>
    <w:rsid w:val="00CE3235"/>
    <w:rsid w:val="00CE4B14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703"/>
    <w:rsid w:val="00D12C0A"/>
    <w:rsid w:val="00D12D40"/>
    <w:rsid w:val="00D14EC1"/>
    <w:rsid w:val="00D15019"/>
    <w:rsid w:val="00D1525E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1B8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E6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69EF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4D5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34B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374A"/>
    <w:rsid w:val="00F037D5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8AA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2E77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POST/DYS/OR/GZ/00024/2026                         </dmsv2SWPP2ObjectNumber>
    <dmsv2SWPP2SumMD5 xmlns="http://schemas.microsoft.com/sharepoint/v3">eaa0321eb7debbc81b7843685038ac12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702890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24097902</dmsv2BaseClientSystemDocumentID>
    <dmsv2BaseModifiedByID xmlns="http://schemas.microsoft.com/sharepoint/v3">10103255</dmsv2BaseModifiedByID>
    <dmsv2BaseCreatedByID xmlns="http://schemas.microsoft.com/sharepoint/v3">10103255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JEUP5JKVCYQC-922955212-15031</_dlc_DocId>
    <_dlc_DocIdUrl xmlns="a19cb1c7-c5c7-46d4-85ae-d83685407bba">
      <Url>https://swpp2.dms.gkpge.pl/sites/41/_layouts/15/DocIdRedir.aspx?ID=JEUP5JKVCYQC-922955212-15031</Url>
      <Description>JEUP5JKVCYQC-922955212-15031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985DA8-AA94-4627-9FC0-FD714500C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97D5CB-0338-41D7-9CE6-8F724EA021D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01387E-0B63-49A0-8F31-E06185EF01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1325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Grabiec Rafał [PGE Dystr. O.Rzeszów]</cp:lastModifiedBy>
  <cp:revision>34</cp:revision>
  <cp:lastPrinted>2016-05-09T08:32:00Z</cp:lastPrinted>
  <dcterms:created xsi:type="dcterms:W3CDTF">2023-01-24T12:36:00Z</dcterms:created>
  <dcterms:modified xsi:type="dcterms:W3CDTF">2026-01-11T21:37:00Z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a456dc02-8ad6-4259-935d-00ccae8d45ed</vt:lpwstr>
  </property>
</Properties>
</file>